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60" w:rsidRDefault="000F113B" w:rsidP="005715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71560">
        <w:rPr>
          <w:b/>
          <w:sz w:val="24"/>
          <w:szCs w:val="24"/>
        </w:rPr>
        <w:t>FORT SMITH HOUSING AUTHORITY BOARD OF COMMISSIONERS</w:t>
      </w:r>
    </w:p>
    <w:p w:rsidR="00571560" w:rsidRDefault="00571560" w:rsidP="00571560">
      <w:pPr>
        <w:jc w:val="center"/>
        <w:rPr>
          <w:b/>
          <w:sz w:val="24"/>
          <w:szCs w:val="24"/>
        </w:rPr>
      </w:pPr>
    </w:p>
    <w:p w:rsidR="00571560" w:rsidRDefault="00A01AB0" w:rsidP="005715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Report for 2011</w:t>
      </w:r>
    </w:p>
    <w:p w:rsidR="00571560" w:rsidRDefault="00571560" w:rsidP="00571560">
      <w:pPr>
        <w:jc w:val="center"/>
        <w:rPr>
          <w:b/>
          <w:sz w:val="24"/>
          <w:szCs w:val="24"/>
        </w:rPr>
      </w:pPr>
    </w:p>
    <w:p w:rsidR="00571560" w:rsidRDefault="00571560" w:rsidP="00571560">
      <w:pPr>
        <w:jc w:val="center"/>
        <w:rPr>
          <w:b/>
          <w:sz w:val="24"/>
          <w:szCs w:val="24"/>
        </w:rPr>
      </w:pPr>
    </w:p>
    <w:p w:rsidR="00571560" w:rsidRDefault="00571560" w:rsidP="0057156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Section 1 – Significant A</w:t>
      </w:r>
      <w:r w:rsidR="00A352AB">
        <w:rPr>
          <w:b/>
          <w:i/>
          <w:sz w:val="24"/>
          <w:szCs w:val="24"/>
          <w:u w:val="single"/>
        </w:rPr>
        <w:t>ccomplishments of the Authority</w:t>
      </w:r>
    </w:p>
    <w:p w:rsidR="00571560" w:rsidRDefault="00571560" w:rsidP="00571560">
      <w:pPr>
        <w:rPr>
          <w:b/>
          <w:i/>
          <w:sz w:val="24"/>
          <w:szCs w:val="24"/>
          <w:u w:val="single"/>
        </w:rPr>
      </w:pPr>
    </w:p>
    <w:p w:rsidR="007743CA" w:rsidRDefault="00571560" w:rsidP="007743C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Housing/Nelson Hall Homes</w:t>
      </w:r>
    </w:p>
    <w:p w:rsidR="007743CA" w:rsidRDefault="007743CA" w:rsidP="007743CA">
      <w:pPr>
        <w:rPr>
          <w:b/>
          <w:sz w:val="24"/>
          <w:szCs w:val="24"/>
        </w:rPr>
      </w:pPr>
    </w:p>
    <w:p w:rsidR="00571560" w:rsidRPr="007743CA" w:rsidRDefault="001121B7" w:rsidP="007743C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743CA">
        <w:rPr>
          <w:sz w:val="24"/>
          <w:szCs w:val="24"/>
        </w:rPr>
        <w:t xml:space="preserve">The replacement of </w:t>
      </w:r>
      <w:r w:rsidR="004C7D5A" w:rsidRPr="007743CA">
        <w:rPr>
          <w:sz w:val="24"/>
          <w:szCs w:val="24"/>
        </w:rPr>
        <w:t xml:space="preserve">all of </w:t>
      </w:r>
      <w:r w:rsidRPr="007743CA">
        <w:rPr>
          <w:sz w:val="24"/>
          <w:szCs w:val="24"/>
        </w:rPr>
        <w:t>the sewer line</w:t>
      </w:r>
      <w:r w:rsidR="004C7D5A" w:rsidRPr="007743CA">
        <w:rPr>
          <w:sz w:val="24"/>
          <w:szCs w:val="24"/>
        </w:rPr>
        <w:t>s</w:t>
      </w:r>
      <w:r w:rsidRPr="007743CA">
        <w:rPr>
          <w:sz w:val="24"/>
          <w:szCs w:val="24"/>
        </w:rPr>
        <w:t xml:space="preserve"> for Nelson Hall Homes was completed.  </w:t>
      </w:r>
      <w:r w:rsidR="004C7D5A" w:rsidRPr="007743CA">
        <w:rPr>
          <w:sz w:val="24"/>
          <w:szCs w:val="24"/>
        </w:rPr>
        <w:t xml:space="preserve">Willis Parks </w:t>
      </w:r>
      <w:r w:rsidR="00063A19">
        <w:rPr>
          <w:sz w:val="24"/>
          <w:szCs w:val="24"/>
        </w:rPr>
        <w:t xml:space="preserve">Construction </w:t>
      </w:r>
      <w:r w:rsidR="004C7D5A" w:rsidRPr="007743CA">
        <w:rPr>
          <w:sz w:val="24"/>
          <w:szCs w:val="24"/>
        </w:rPr>
        <w:t xml:space="preserve">was the contractor for the primary lines, and </w:t>
      </w:r>
      <w:r w:rsidR="00571560" w:rsidRPr="007743CA">
        <w:rPr>
          <w:sz w:val="24"/>
          <w:szCs w:val="24"/>
        </w:rPr>
        <w:t xml:space="preserve">FSHA </w:t>
      </w:r>
      <w:r w:rsidRPr="007743CA">
        <w:rPr>
          <w:sz w:val="24"/>
          <w:szCs w:val="24"/>
        </w:rPr>
        <w:t>did</w:t>
      </w:r>
      <w:r w:rsidR="00571560" w:rsidRPr="007743CA">
        <w:rPr>
          <w:sz w:val="24"/>
          <w:szCs w:val="24"/>
        </w:rPr>
        <w:t xml:space="preserve"> the secondary line replacement using maintenance staff and equipment to reduce costs.  Final project cost </w:t>
      </w:r>
      <w:r w:rsidRPr="007743CA">
        <w:rPr>
          <w:sz w:val="24"/>
          <w:szCs w:val="24"/>
        </w:rPr>
        <w:t>was</w:t>
      </w:r>
      <w:r w:rsidR="00571560" w:rsidRPr="007743CA">
        <w:rPr>
          <w:sz w:val="24"/>
          <w:szCs w:val="24"/>
        </w:rPr>
        <w:t xml:space="preserve"> $600,000.  </w:t>
      </w:r>
      <w:r w:rsidR="004C7D5A" w:rsidRPr="007743CA">
        <w:rPr>
          <w:sz w:val="24"/>
          <w:szCs w:val="24"/>
        </w:rPr>
        <w:t>Sewer trouble calls have been reduced to nearly zero.</w:t>
      </w:r>
    </w:p>
    <w:p w:rsidR="004C7D5A" w:rsidRPr="004C7D5A" w:rsidRDefault="004C7D5A" w:rsidP="004C7D5A">
      <w:pPr>
        <w:pStyle w:val="ListParagraph"/>
        <w:rPr>
          <w:b/>
          <w:i/>
          <w:sz w:val="24"/>
          <w:szCs w:val="24"/>
          <w:highlight w:val="yellow"/>
          <w:u w:val="single"/>
        </w:rPr>
      </w:pPr>
    </w:p>
    <w:p w:rsidR="00571560" w:rsidRDefault="00571560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43CA">
        <w:rPr>
          <w:sz w:val="24"/>
          <w:szCs w:val="24"/>
        </w:rPr>
        <w:t xml:space="preserve">Nelson Hall Homes Public Housing Assessment System (PHAS) score </w:t>
      </w:r>
      <w:r w:rsidR="00063A19">
        <w:rPr>
          <w:sz w:val="24"/>
          <w:szCs w:val="24"/>
        </w:rPr>
        <w:t xml:space="preserve">for the 2010 fiscal year </w:t>
      </w:r>
      <w:r w:rsidRPr="007743CA">
        <w:rPr>
          <w:sz w:val="24"/>
          <w:szCs w:val="24"/>
        </w:rPr>
        <w:t>was 9</w:t>
      </w:r>
      <w:r w:rsidR="007743CA">
        <w:rPr>
          <w:sz w:val="24"/>
          <w:szCs w:val="24"/>
        </w:rPr>
        <w:t>7</w:t>
      </w:r>
      <w:r w:rsidRPr="007743CA">
        <w:rPr>
          <w:sz w:val="24"/>
          <w:szCs w:val="24"/>
        </w:rPr>
        <w:t xml:space="preserve"> out of 100 points, making it a “High Performer.”</w:t>
      </w:r>
    </w:p>
    <w:p w:rsidR="00453A05" w:rsidRDefault="00453A05" w:rsidP="00453A05">
      <w:pPr>
        <w:rPr>
          <w:sz w:val="24"/>
          <w:szCs w:val="24"/>
        </w:rPr>
      </w:pPr>
    </w:p>
    <w:p w:rsidR="00453A05" w:rsidRPr="00453A05" w:rsidRDefault="00453A05" w:rsidP="00453A0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320"/>
          <w:tab w:val="left" w:pos="5400"/>
          <w:tab w:val="left" w:pos="6480"/>
        </w:tabs>
        <w:rPr>
          <w:sz w:val="24"/>
          <w:szCs w:val="24"/>
        </w:rPr>
      </w:pPr>
      <w:r w:rsidRPr="00453A05">
        <w:rPr>
          <w:sz w:val="24"/>
          <w:szCs w:val="24"/>
        </w:rPr>
        <w:t>HUD’s REAC (Real Estate Assessment Center) inspector was on-site November 8, 201</w:t>
      </w:r>
      <w:r w:rsidR="00AC6A28">
        <w:rPr>
          <w:sz w:val="24"/>
          <w:szCs w:val="24"/>
        </w:rPr>
        <w:t>1,</w:t>
      </w:r>
      <w:r w:rsidRPr="00453A05">
        <w:rPr>
          <w:sz w:val="24"/>
          <w:szCs w:val="24"/>
        </w:rPr>
        <w:t xml:space="preserve"> to assess the physical condition and safet</w:t>
      </w:r>
      <w:r>
        <w:rPr>
          <w:sz w:val="24"/>
          <w:szCs w:val="24"/>
        </w:rPr>
        <w:t xml:space="preserve">y of Nelson Hall Homes and </w:t>
      </w:r>
      <w:r w:rsidR="00E04E11">
        <w:rPr>
          <w:sz w:val="24"/>
          <w:szCs w:val="24"/>
        </w:rPr>
        <w:t>awar</w:t>
      </w:r>
      <w:r>
        <w:rPr>
          <w:sz w:val="24"/>
          <w:szCs w:val="24"/>
        </w:rPr>
        <w:t>ded the property 95 out of 100 points.</w:t>
      </w:r>
    </w:p>
    <w:p w:rsidR="006906DC" w:rsidRPr="00453A05" w:rsidRDefault="006906DC" w:rsidP="00453A05">
      <w:pPr>
        <w:pStyle w:val="ListParagraph"/>
        <w:rPr>
          <w:sz w:val="24"/>
          <w:szCs w:val="24"/>
        </w:rPr>
      </w:pPr>
    </w:p>
    <w:p w:rsidR="006906DC" w:rsidRDefault="006906DC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Nelson Hall Homes continues a $3</w:t>
      </w:r>
      <w:r w:rsidR="00FA4853">
        <w:rPr>
          <w:sz w:val="24"/>
          <w:szCs w:val="24"/>
        </w:rPr>
        <w:t>.8</w:t>
      </w:r>
      <w:r>
        <w:rPr>
          <w:sz w:val="24"/>
          <w:szCs w:val="24"/>
        </w:rPr>
        <w:t xml:space="preserve"> million interior remodel program.  </w:t>
      </w:r>
      <w:r w:rsidR="00FA4853">
        <w:rPr>
          <w:sz w:val="24"/>
          <w:szCs w:val="24"/>
        </w:rPr>
        <w:t>Funding comes from the Asset Repositioning Fee from HUD as reimbursement for the costs associated with the demolition of Ragon Homes in 2008, the Five</w:t>
      </w:r>
      <w:r w:rsidR="007D0D0B">
        <w:rPr>
          <w:sz w:val="24"/>
          <w:szCs w:val="24"/>
        </w:rPr>
        <w:t>-</w:t>
      </w:r>
      <w:r w:rsidR="00FA4853">
        <w:rPr>
          <w:sz w:val="24"/>
          <w:szCs w:val="24"/>
        </w:rPr>
        <w:t xml:space="preserve">Year Capital Fund Program from HUD, and current reserves.  </w:t>
      </w:r>
      <w:r>
        <w:rPr>
          <w:sz w:val="24"/>
          <w:szCs w:val="24"/>
        </w:rPr>
        <w:t xml:space="preserve">The remodel budget for each unit is </w:t>
      </w:r>
      <w:r w:rsidR="00063A19">
        <w:rPr>
          <w:sz w:val="24"/>
          <w:szCs w:val="24"/>
        </w:rPr>
        <w:t xml:space="preserve">approximately </w:t>
      </w:r>
      <w:r>
        <w:rPr>
          <w:sz w:val="24"/>
          <w:szCs w:val="24"/>
        </w:rPr>
        <w:t>$1</w:t>
      </w:r>
      <w:r w:rsidR="00063A19">
        <w:rPr>
          <w:sz w:val="24"/>
          <w:szCs w:val="24"/>
        </w:rPr>
        <w:t>4,0</w:t>
      </w:r>
      <w:r>
        <w:rPr>
          <w:sz w:val="24"/>
          <w:szCs w:val="24"/>
        </w:rPr>
        <w:t xml:space="preserve">00, and </w:t>
      </w:r>
      <w:r w:rsidR="00063A19">
        <w:rPr>
          <w:sz w:val="24"/>
          <w:szCs w:val="24"/>
        </w:rPr>
        <w:t>with 9</w:t>
      </w:r>
      <w:r>
        <w:rPr>
          <w:sz w:val="24"/>
          <w:szCs w:val="24"/>
        </w:rPr>
        <w:t xml:space="preserve"> units being completed per month.  The project is expected to be completed in 201</w:t>
      </w:r>
      <w:r w:rsidR="0038493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FA4853" w:rsidRPr="00FA4853" w:rsidRDefault="00FA4853" w:rsidP="00FA4853">
      <w:pPr>
        <w:pStyle w:val="ListParagraph"/>
        <w:rPr>
          <w:sz w:val="24"/>
          <w:szCs w:val="24"/>
        </w:rPr>
      </w:pPr>
    </w:p>
    <w:p w:rsidR="00FA4853" w:rsidRDefault="00FA4853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easements were conveyed to the City of Fort Smith for the construction of two bus shelters, one at Clara Circle and </w:t>
      </w:r>
      <w:proofErr w:type="spellStart"/>
      <w:r>
        <w:rPr>
          <w:sz w:val="24"/>
          <w:szCs w:val="24"/>
        </w:rPr>
        <w:t>Futral</w:t>
      </w:r>
      <w:proofErr w:type="spellEnd"/>
      <w:r>
        <w:rPr>
          <w:sz w:val="24"/>
          <w:szCs w:val="24"/>
        </w:rPr>
        <w:t xml:space="preserve"> Drive and another at </w:t>
      </w:r>
      <w:proofErr w:type="spellStart"/>
      <w:r>
        <w:rPr>
          <w:sz w:val="24"/>
          <w:szCs w:val="24"/>
        </w:rPr>
        <w:t>Futral</w:t>
      </w:r>
      <w:proofErr w:type="spellEnd"/>
      <w:r>
        <w:rPr>
          <w:sz w:val="24"/>
          <w:szCs w:val="24"/>
        </w:rPr>
        <w:t xml:space="preserve"> Drive and Ridgeway Drive, to better serve the residents of Nelson Hall Homes.</w:t>
      </w:r>
    </w:p>
    <w:p w:rsidR="001121B7" w:rsidRPr="001121B7" w:rsidRDefault="001121B7" w:rsidP="001121B7">
      <w:pPr>
        <w:pStyle w:val="ListParagraph"/>
        <w:rPr>
          <w:sz w:val="24"/>
          <w:szCs w:val="24"/>
        </w:rPr>
      </w:pPr>
    </w:p>
    <w:p w:rsidR="001121B7" w:rsidRDefault="001121B7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HUD Little Rock Field Office conducted a review of the administration of the 2009 American Recovery and Reinvestment Act (ARRA) funds of $807,459 provided to FSHA.  The funds were used </w:t>
      </w:r>
      <w:r w:rsidR="00063A19">
        <w:rPr>
          <w:sz w:val="24"/>
          <w:szCs w:val="24"/>
        </w:rPr>
        <w:t>to build eight additional fully-handicapped accessible units and other</w:t>
      </w:r>
      <w:r>
        <w:rPr>
          <w:sz w:val="24"/>
          <w:szCs w:val="24"/>
        </w:rPr>
        <w:t xml:space="preserve"> improvements to </w:t>
      </w:r>
      <w:proofErr w:type="gramStart"/>
      <w:r>
        <w:rPr>
          <w:sz w:val="24"/>
          <w:szCs w:val="24"/>
        </w:rPr>
        <w:t>Nelson Hall Homes</w:t>
      </w:r>
      <w:proofErr w:type="gramEnd"/>
      <w:r>
        <w:rPr>
          <w:sz w:val="24"/>
          <w:szCs w:val="24"/>
        </w:rPr>
        <w:t xml:space="preserve"> </w:t>
      </w:r>
      <w:r w:rsidR="00063A19">
        <w:rPr>
          <w:sz w:val="24"/>
          <w:szCs w:val="24"/>
        </w:rPr>
        <w:t>site.  All projects were completed</w:t>
      </w:r>
      <w:r>
        <w:rPr>
          <w:sz w:val="24"/>
          <w:szCs w:val="24"/>
        </w:rPr>
        <w:t xml:space="preserve"> more than 18 months ahead of the federal guidelines.</w:t>
      </w:r>
    </w:p>
    <w:p w:rsidR="00571560" w:rsidRDefault="00571560" w:rsidP="00571560">
      <w:pPr>
        <w:rPr>
          <w:sz w:val="24"/>
          <w:szCs w:val="24"/>
        </w:rPr>
      </w:pPr>
    </w:p>
    <w:p w:rsidR="00571560" w:rsidRPr="00FA63E9" w:rsidRDefault="00571560" w:rsidP="00571560">
      <w:pPr>
        <w:rPr>
          <w:b/>
          <w:sz w:val="24"/>
          <w:szCs w:val="24"/>
        </w:rPr>
      </w:pPr>
      <w:r w:rsidRPr="00FA63E9">
        <w:rPr>
          <w:b/>
          <w:sz w:val="24"/>
          <w:szCs w:val="24"/>
        </w:rPr>
        <w:t>Section 8</w:t>
      </w:r>
      <w:r w:rsidR="00063A19">
        <w:rPr>
          <w:b/>
          <w:sz w:val="24"/>
          <w:szCs w:val="24"/>
        </w:rPr>
        <w:t>/Housing Choice Vouchers</w:t>
      </w:r>
    </w:p>
    <w:p w:rsidR="00571560" w:rsidRDefault="00571560" w:rsidP="00571560">
      <w:pPr>
        <w:pStyle w:val="ListParagraph"/>
        <w:rPr>
          <w:sz w:val="24"/>
          <w:szCs w:val="24"/>
        </w:rPr>
      </w:pPr>
    </w:p>
    <w:p w:rsidR="00571560" w:rsidRDefault="00571560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FSHA scored 100% on the Section Eight Management Assessment Pro</w:t>
      </w:r>
      <w:r w:rsidR="00063A19">
        <w:rPr>
          <w:sz w:val="24"/>
          <w:szCs w:val="24"/>
        </w:rPr>
        <w:t>gram</w:t>
      </w:r>
      <w:r>
        <w:rPr>
          <w:sz w:val="24"/>
          <w:szCs w:val="24"/>
        </w:rPr>
        <w:t xml:space="preserve"> for the </w:t>
      </w:r>
      <w:r w:rsidR="00063A19">
        <w:rPr>
          <w:sz w:val="24"/>
          <w:szCs w:val="24"/>
        </w:rPr>
        <w:t>2010</w:t>
      </w:r>
      <w:r>
        <w:rPr>
          <w:sz w:val="24"/>
          <w:szCs w:val="24"/>
        </w:rPr>
        <w:t xml:space="preserve"> fiscal year and was ranked as a “High Performer.”</w:t>
      </w:r>
      <w:r w:rsidR="006906DC">
        <w:rPr>
          <w:sz w:val="24"/>
          <w:szCs w:val="24"/>
        </w:rPr>
        <w:t xml:space="preserve">  This is the second year in a row </w:t>
      </w:r>
      <w:r w:rsidR="00063A19">
        <w:rPr>
          <w:sz w:val="24"/>
          <w:szCs w:val="24"/>
        </w:rPr>
        <w:t>we have</w:t>
      </w:r>
      <w:r w:rsidR="006906DC">
        <w:rPr>
          <w:sz w:val="24"/>
          <w:szCs w:val="24"/>
        </w:rPr>
        <w:t xml:space="preserve"> achieved a perfect score.</w:t>
      </w:r>
    </w:p>
    <w:p w:rsidR="00571560" w:rsidRDefault="00571560" w:rsidP="00571560">
      <w:pPr>
        <w:rPr>
          <w:sz w:val="24"/>
          <w:szCs w:val="24"/>
        </w:rPr>
      </w:pPr>
    </w:p>
    <w:p w:rsidR="00571560" w:rsidRDefault="00571560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13B">
        <w:rPr>
          <w:sz w:val="24"/>
          <w:szCs w:val="24"/>
        </w:rPr>
        <w:lastRenderedPageBreak/>
        <w:t>The Housing Choice Voucher rent assistance program assisted 1</w:t>
      </w:r>
      <w:r w:rsidR="006906DC" w:rsidRPr="000F113B">
        <w:rPr>
          <w:sz w:val="24"/>
          <w:szCs w:val="24"/>
        </w:rPr>
        <w:t>,</w:t>
      </w:r>
      <w:r w:rsidRPr="000F113B">
        <w:rPr>
          <w:sz w:val="24"/>
          <w:szCs w:val="24"/>
        </w:rPr>
        <w:t>23</w:t>
      </w:r>
      <w:r w:rsidR="006906DC" w:rsidRPr="000F113B">
        <w:rPr>
          <w:sz w:val="24"/>
          <w:szCs w:val="24"/>
        </w:rPr>
        <w:t>9</w:t>
      </w:r>
      <w:r w:rsidRPr="000F113B">
        <w:rPr>
          <w:sz w:val="24"/>
          <w:szCs w:val="24"/>
        </w:rPr>
        <w:t xml:space="preserve"> income-eligible families </w:t>
      </w:r>
      <w:r w:rsidR="00063A19">
        <w:rPr>
          <w:sz w:val="24"/>
          <w:szCs w:val="24"/>
        </w:rPr>
        <w:t>each month</w:t>
      </w:r>
      <w:r w:rsidRPr="000F113B">
        <w:rPr>
          <w:sz w:val="24"/>
          <w:szCs w:val="24"/>
        </w:rPr>
        <w:t xml:space="preserve"> in Fort Smith and Sebastian County, which is 100% of available vouchers.  Over 98.9% of the $4.93 million funded was expended this year.</w:t>
      </w:r>
    </w:p>
    <w:p w:rsidR="00CE33BC" w:rsidRPr="000F113B" w:rsidRDefault="00CE33BC" w:rsidP="004712FC">
      <w:pPr>
        <w:pStyle w:val="ListParagraph"/>
        <w:rPr>
          <w:sz w:val="24"/>
          <w:szCs w:val="24"/>
        </w:rPr>
      </w:pPr>
    </w:p>
    <w:p w:rsidR="00571560" w:rsidRPr="00432B59" w:rsidRDefault="00571560" w:rsidP="00571560">
      <w:pPr>
        <w:rPr>
          <w:b/>
          <w:sz w:val="24"/>
          <w:szCs w:val="24"/>
        </w:rPr>
      </w:pPr>
      <w:r>
        <w:rPr>
          <w:b/>
          <w:sz w:val="24"/>
          <w:szCs w:val="24"/>
        </w:rPr>
        <w:t>Affordable Houses for Sale</w:t>
      </w:r>
    </w:p>
    <w:p w:rsidR="00571560" w:rsidRDefault="00571560" w:rsidP="00571560">
      <w:pPr>
        <w:pStyle w:val="ListParagraph"/>
        <w:rPr>
          <w:sz w:val="24"/>
          <w:szCs w:val="24"/>
        </w:rPr>
      </w:pPr>
    </w:p>
    <w:p w:rsidR="00571560" w:rsidRPr="007842C1" w:rsidRDefault="00571560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42C1">
        <w:rPr>
          <w:sz w:val="24"/>
          <w:szCs w:val="24"/>
        </w:rPr>
        <w:t xml:space="preserve">FSHA was awarded </w:t>
      </w:r>
      <w:r w:rsidR="007842C1">
        <w:rPr>
          <w:sz w:val="24"/>
          <w:szCs w:val="24"/>
        </w:rPr>
        <w:t>$1</w:t>
      </w:r>
      <w:r w:rsidR="00A91D7E">
        <w:rPr>
          <w:sz w:val="24"/>
          <w:szCs w:val="24"/>
        </w:rPr>
        <w:t>70,000</w:t>
      </w:r>
      <w:r w:rsidRPr="007842C1">
        <w:rPr>
          <w:sz w:val="24"/>
          <w:szCs w:val="24"/>
        </w:rPr>
        <w:t xml:space="preserve"> in HOME funds </w:t>
      </w:r>
      <w:r w:rsidR="007842C1" w:rsidRPr="007842C1">
        <w:rPr>
          <w:sz w:val="24"/>
          <w:szCs w:val="24"/>
        </w:rPr>
        <w:t xml:space="preserve">by the City </w:t>
      </w:r>
      <w:r w:rsidRPr="007842C1">
        <w:rPr>
          <w:sz w:val="24"/>
          <w:szCs w:val="24"/>
        </w:rPr>
        <w:t xml:space="preserve">to build </w:t>
      </w:r>
      <w:r w:rsidR="007842C1">
        <w:rPr>
          <w:sz w:val="24"/>
          <w:szCs w:val="24"/>
        </w:rPr>
        <w:t>two</w:t>
      </w:r>
      <w:r w:rsidRPr="007842C1">
        <w:rPr>
          <w:sz w:val="24"/>
          <w:szCs w:val="24"/>
        </w:rPr>
        <w:t xml:space="preserve"> new house</w:t>
      </w:r>
      <w:r w:rsidR="007842C1">
        <w:rPr>
          <w:sz w:val="24"/>
          <w:szCs w:val="24"/>
        </w:rPr>
        <w:t xml:space="preserve">s on </w:t>
      </w:r>
      <w:r w:rsidR="000A5F74">
        <w:rPr>
          <w:sz w:val="24"/>
          <w:szCs w:val="24"/>
        </w:rPr>
        <w:t>existing lot inventory on Edwards</w:t>
      </w:r>
      <w:r w:rsidRPr="007842C1">
        <w:rPr>
          <w:sz w:val="24"/>
          <w:szCs w:val="24"/>
        </w:rPr>
        <w:t>.</w:t>
      </w:r>
      <w:r w:rsidR="00063A19">
        <w:rPr>
          <w:sz w:val="24"/>
          <w:szCs w:val="24"/>
        </w:rPr>
        <w:t xml:space="preserve">  We expect to begin construction on these homes in 2012.</w:t>
      </w:r>
    </w:p>
    <w:p w:rsidR="001121B7" w:rsidRDefault="001121B7" w:rsidP="001121B7">
      <w:pPr>
        <w:rPr>
          <w:sz w:val="24"/>
          <w:szCs w:val="24"/>
        </w:rPr>
      </w:pPr>
    </w:p>
    <w:p w:rsidR="005E65C5" w:rsidRPr="001121B7" w:rsidRDefault="005E65C5" w:rsidP="001121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City of Fort Smith and FSHA were awarded $820,000 by the Arkansas Economic Development Commission (AEDC) for disaster relief under the Community Development Block Grant (CDBG) program, popularly known as Ike-2, to acquire, demolish, and prepare a minimum of 20 lots.  Houses will eventually be built on the</w:t>
      </w:r>
      <w:r w:rsidR="00063A19">
        <w:rPr>
          <w:sz w:val="24"/>
          <w:szCs w:val="24"/>
        </w:rPr>
        <w:t xml:space="preserve"> lots</w:t>
      </w:r>
      <w:r>
        <w:rPr>
          <w:sz w:val="24"/>
          <w:szCs w:val="24"/>
        </w:rPr>
        <w:t xml:space="preserve"> to benefit low- to moderate-income families while clearing </w:t>
      </w:r>
      <w:r w:rsidR="005F54C0">
        <w:rPr>
          <w:sz w:val="24"/>
          <w:szCs w:val="24"/>
        </w:rPr>
        <w:t xml:space="preserve">away </w:t>
      </w:r>
      <w:proofErr w:type="gramStart"/>
      <w:r w:rsidR="005F54C0">
        <w:rPr>
          <w:sz w:val="24"/>
          <w:szCs w:val="24"/>
        </w:rPr>
        <w:t>abandoned,</w:t>
      </w:r>
      <w:proofErr w:type="gramEnd"/>
      <w:r>
        <w:rPr>
          <w:sz w:val="24"/>
          <w:szCs w:val="24"/>
        </w:rPr>
        <w:t xml:space="preserve"> blight</w:t>
      </w:r>
      <w:r w:rsidR="005F54C0">
        <w:rPr>
          <w:sz w:val="24"/>
          <w:szCs w:val="24"/>
        </w:rPr>
        <w:t>ed and vacant houses</w:t>
      </w:r>
      <w:r>
        <w:rPr>
          <w:sz w:val="24"/>
          <w:szCs w:val="24"/>
        </w:rPr>
        <w:t xml:space="preserve"> from neighborhoods.  The City and FSHA were chosen to partner because of FSHA’s experience in building quality, affordable, in-fill housing, its experience in conducting its Neighborhood Stabilization Program, and its designation as the redevelopment agency for the City.</w:t>
      </w:r>
    </w:p>
    <w:p w:rsidR="00571560" w:rsidRDefault="00571560" w:rsidP="00571560">
      <w:pPr>
        <w:pStyle w:val="ListParagraph"/>
        <w:rPr>
          <w:sz w:val="24"/>
          <w:szCs w:val="24"/>
        </w:rPr>
      </w:pPr>
    </w:p>
    <w:p w:rsidR="00571560" w:rsidRDefault="00470E67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E67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new </w:t>
      </w:r>
      <w:r w:rsidRPr="00470E67">
        <w:rPr>
          <w:sz w:val="24"/>
          <w:szCs w:val="24"/>
        </w:rPr>
        <w:t>houses were sold under t</w:t>
      </w:r>
      <w:r w:rsidR="00571560" w:rsidRPr="00470E67">
        <w:rPr>
          <w:sz w:val="24"/>
          <w:szCs w:val="24"/>
        </w:rPr>
        <w:t>he Neighborhood Stabilization Program (NSP)</w:t>
      </w:r>
      <w:r w:rsidRPr="00470E67">
        <w:rPr>
          <w:sz w:val="24"/>
          <w:szCs w:val="24"/>
        </w:rPr>
        <w:t>.  The program provides for the purchase of abandoned</w:t>
      </w:r>
      <w:r w:rsidR="00571560" w:rsidRPr="00470E67">
        <w:rPr>
          <w:sz w:val="24"/>
          <w:szCs w:val="24"/>
        </w:rPr>
        <w:t xml:space="preserve"> and blighted houses and lots for the construction of new houses.  </w:t>
      </w:r>
    </w:p>
    <w:p w:rsidR="00470E67" w:rsidRPr="00470E67" w:rsidRDefault="00470E67" w:rsidP="00470E67">
      <w:pPr>
        <w:pStyle w:val="ListParagraph"/>
        <w:rPr>
          <w:sz w:val="24"/>
          <w:szCs w:val="24"/>
        </w:rPr>
      </w:pPr>
    </w:p>
    <w:p w:rsidR="00FA4853" w:rsidRPr="00470E67" w:rsidRDefault="00470E67" w:rsidP="00470E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Three </w:t>
      </w:r>
      <w:r w:rsidR="00571560" w:rsidRPr="00470E67">
        <w:rPr>
          <w:sz w:val="24"/>
          <w:szCs w:val="24"/>
        </w:rPr>
        <w:t>new construction houses were sold under the Affordable Housing Program to eligible first time homebuyers.  Average sales price was $</w:t>
      </w:r>
      <w:r>
        <w:rPr>
          <w:sz w:val="24"/>
          <w:szCs w:val="24"/>
        </w:rPr>
        <w:t>9</w:t>
      </w:r>
      <w:r w:rsidR="00571560" w:rsidRPr="00470E67">
        <w:rPr>
          <w:sz w:val="24"/>
          <w:szCs w:val="24"/>
        </w:rPr>
        <w:t xml:space="preserve">5,000.  In addition, construction was completed on </w:t>
      </w:r>
      <w:r>
        <w:rPr>
          <w:sz w:val="24"/>
          <w:szCs w:val="24"/>
        </w:rPr>
        <w:t>three</w:t>
      </w:r>
      <w:r w:rsidR="00571560" w:rsidRPr="00470E67">
        <w:rPr>
          <w:sz w:val="24"/>
          <w:szCs w:val="24"/>
        </w:rPr>
        <w:t xml:space="preserve"> new three-bedroom, two-bath houses on North </w:t>
      </w:r>
      <w:r>
        <w:rPr>
          <w:sz w:val="24"/>
          <w:szCs w:val="24"/>
        </w:rPr>
        <w:t>9</w:t>
      </w:r>
      <w:r w:rsidRPr="00470E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  <w:r w:rsidR="00571560" w:rsidRPr="00470E67">
        <w:rPr>
          <w:sz w:val="24"/>
          <w:szCs w:val="24"/>
        </w:rPr>
        <w:t>.  All homes were constructed with HOME and CDBG funds awarded by the City of Fort Smith or proceeds from the sale of previous homes.</w:t>
      </w:r>
    </w:p>
    <w:p w:rsidR="00571560" w:rsidRPr="00432B59" w:rsidRDefault="00571560" w:rsidP="00571560">
      <w:pPr>
        <w:pStyle w:val="ListParagraph"/>
        <w:rPr>
          <w:sz w:val="24"/>
          <w:szCs w:val="24"/>
        </w:rPr>
      </w:pPr>
    </w:p>
    <w:p w:rsidR="00571560" w:rsidRDefault="00571560" w:rsidP="0057156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Low Income Housing Tax Credits/North Pointe and North Pointe II</w:t>
      </w:r>
      <w:r w:rsidR="000820E9">
        <w:rPr>
          <w:b/>
          <w:sz w:val="24"/>
          <w:szCs w:val="24"/>
        </w:rPr>
        <w:t>/Clayton Heights</w:t>
      </w:r>
    </w:p>
    <w:p w:rsidR="00571560" w:rsidRDefault="00571560" w:rsidP="00571560">
      <w:pPr>
        <w:rPr>
          <w:b/>
          <w:sz w:val="24"/>
          <w:szCs w:val="24"/>
        </w:rPr>
      </w:pPr>
    </w:p>
    <w:p w:rsidR="00571560" w:rsidRPr="00BD5F0F" w:rsidRDefault="00571560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5F0F">
        <w:rPr>
          <w:sz w:val="24"/>
          <w:szCs w:val="24"/>
        </w:rPr>
        <w:t>Occupancy at North Pointe</w:t>
      </w:r>
      <w:r w:rsidR="00470E67" w:rsidRPr="00BD5F0F">
        <w:rPr>
          <w:sz w:val="24"/>
          <w:szCs w:val="24"/>
        </w:rPr>
        <w:t xml:space="preserve">, FSHA’s </w:t>
      </w:r>
      <w:r w:rsidR="006E5921" w:rsidRPr="00BD5F0F">
        <w:rPr>
          <w:sz w:val="24"/>
          <w:szCs w:val="24"/>
        </w:rPr>
        <w:t>50-unit rental development,</w:t>
      </w:r>
      <w:r w:rsidRPr="00BD5F0F">
        <w:rPr>
          <w:sz w:val="24"/>
          <w:szCs w:val="24"/>
        </w:rPr>
        <w:t xml:space="preserve"> has been above 95% for the year.</w:t>
      </w:r>
    </w:p>
    <w:p w:rsidR="00470E67" w:rsidRDefault="00470E67" w:rsidP="00470E67">
      <w:pPr>
        <w:pStyle w:val="ListParagraph"/>
        <w:rPr>
          <w:sz w:val="24"/>
          <w:szCs w:val="24"/>
        </w:rPr>
      </w:pPr>
    </w:p>
    <w:p w:rsidR="00571560" w:rsidRDefault="004C7D5A" w:rsidP="00571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Grand opening of </w:t>
      </w:r>
      <w:r w:rsidR="00571560" w:rsidRPr="004C7D5A">
        <w:rPr>
          <w:sz w:val="24"/>
          <w:szCs w:val="24"/>
        </w:rPr>
        <w:t>North Pointe II</w:t>
      </w:r>
      <w:r>
        <w:rPr>
          <w:sz w:val="24"/>
          <w:szCs w:val="24"/>
        </w:rPr>
        <w:t>, a 65-unit rental development,</w:t>
      </w:r>
      <w:r w:rsidR="00571560" w:rsidRPr="004C7D5A">
        <w:rPr>
          <w:sz w:val="24"/>
          <w:szCs w:val="24"/>
        </w:rPr>
        <w:t xml:space="preserve"> </w:t>
      </w:r>
      <w:r w:rsidR="006906DC" w:rsidRPr="004C7D5A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held </w:t>
      </w:r>
      <w:r w:rsidR="00571560" w:rsidRPr="004C7D5A">
        <w:rPr>
          <w:sz w:val="24"/>
          <w:szCs w:val="24"/>
        </w:rPr>
        <w:t xml:space="preserve">on </w:t>
      </w:r>
      <w:r>
        <w:rPr>
          <w:sz w:val="24"/>
          <w:szCs w:val="24"/>
        </w:rPr>
        <w:t>April 12, 2011.  The project’s</w:t>
      </w:r>
      <w:r w:rsidR="00571560" w:rsidRPr="004C7D5A">
        <w:rPr>
          <w:sz w:val="24"/>
          <w:szCs w:val="24"/>
        </w:rPr>
        <w:t xml:space="preserve"> total cost </w:t>
      </w:r>
      <w:r>
        <w:rPr>
          <w:sz w:val="24"/>
          <w:szCs w:val="24"/>
        </w:rPr>
        <w:t>was</w:t>
      </w:r>
      <w:r w:rsidR="00571560" w:rsidRPr="004C7D5A">
        <w:rPr>
          <w:sz w:val="24"/>
          <w:szCs w:val="24"/>
        </w:rPr>
        <w:t xml:space="preserve"> $10.3 million.</w:t>
      </w:r>
      <w:r w:rsidR="000820E9">
        <w:rPr>
          <w:sz w:val="24"/>
          <w:szCs w:val="24"/>
        </w:rPr>
        <w:t xml:space="preserve">  The project went into permanent financing in June, 2011</w:t>
      </w:r>
      <w:r w:rsidR="00712BB8">
        <w:rPr>
          <w:sz w:val="24"/>
          <w:szCs w:val="24"/>
        </w:rPr>
        <w:t>.</w:t>
      </w:r>
      <w:r w:rsidR="005F54C0">
        <w:rPr>
          <w:sz w:val="24"/>
          <w:szCs w:val="24"/>
        </w:rPr>
        <w:t xml:space="preserve">  Occupancy as of December 2011 was 93%.  </w:t>
      </w:r>
    </w:p>
    <w:p w:rsidR="000820E9" w:rsidRPr="000820E9" w:rsidRDefault="000820E9" w:rsidP="000820E9">
      <w:pPr>
        <w:pStyle w:val="ListParagraph"/>
        <w:rPr>
          <w:sz w:val="24"/>
          <w:szCs w:val="24"/>
        </w:rPr>
      </w:pPr>
    </w:p>
    <w:p w:rsidR="000820E9" w:rsidRPr="0038493B" w:rsidRDefault="005F54C0" w:rsidP="000820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Clayton Heights Limited Partnership, an affiliate of the Fort Smith Housing authority was awarded $6.0 million in Low Income Housing Tax Credits from the Arkansas Development Finance Authority in June to build a 57-unit single-family home development near Williams Lane in north Fort Smith.  Construction will begin in early 2012 with completion scheduled for mid-2013.  </w:t>
      </w:r>
    </w:p>
    <w:p w:rsidR="00571560" w:rsidRDefault="00571560" w:rsidP="00571560">
      <w:pPr>
        <w:rPr>
          <w:b/>
          <w:sz w:val="24"/>
          <w:szCs w:val="24"/>
        </w:rPr>
      </w:pPr>
    </w:p>
    <w:p w:rsidR="004712FC" w:rsidRDefault="004712F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71560" w:rsidRPr="00432B59" w:rsidRDefault="00571560" w:rsidP="0057156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Redevelopment/Economic Development/New Markets Tax Credit Program</w:t>
      </w:r>
    </w:p>
    <w:p w:rsidR="00571560" w:rsidRDefault="00571560" w:rsidP="00571560">
      <w:pPr>
        <w:pStyle w:val="ListParagraph"/>
        <w:rPr>
          <w:sz w:val="24"/>
          <w:szCs w:val="24"/>
        </w:rPr>
      </w:pPr>
    </w:p>
    <w:p w:rsidR="004C7D5A" w:rsidRPr="004C7D5A" w:rsidRDefault="004C7D5A" w:rsidP="004C7D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U. S. Treasury informed us that Fort Smith Regional NMTC Facilitators, LLC, was certified as of February 2, 2011, as a Community Development Entity (CDE) eligible under the New Markets Tax Credit (NMTC) </w:t>
      </w:r>
      <w:r w:rsidRPr="004C7D5A">
        <w:rPr>
          <w:sz w:val="24"/>
          <w:szCs w:val="24"/>
        </w:rPr>
        <w:t xml:space="preserve">program for financing commercial, retail, industrial, and mixed-use development in low-to-moderate income areas.  </w:t>
      </w:r>
      <w:r w:rsidR="00137073">
        <w:rPr>
          <w:sz w:val="24"/>
          <w:szCs w:val="24"/>
        </w:rPr>
        <w:t>An application has been submitted to Treasury for an allocation of NMTC for use in 13 projects</w:t>
      </w:r>
      <w:r w:rsidR="00B35CEA">
        <w:rPr>
          <w:sz w:val="24"/>
          <w:szCs w:val="24"/>
        </w:rPr>
        <w:t xml:space="preserve"> in the City and surrounding region.</w:t>
      </w:r>
    </w:p>
    <w:p w:rsidR="00571560" w:rsidRPr="0081151A" w:rsidRDefault="00571560" w:rsidP="00571560">
      <w:pPr>
        <w:pStyle w:val="ListParagraph"/>
        <w:rPr>
          <w:sz w:val="24"/>
          <w:szCs w:val="24"/>
        </w:rPr>
      </w:pPr>
    </w:p>
    <w:p w:rsidR="00571560" w:rsidRDefault="00571560" w:rsidP="00571560">
      <w:pPr>
        <w:rPr>
          <w:b/>
          <w:sz w:val="24"/>
          <w:szCs w:val="24"/>
        </w:rPr>
      </w:pPr>
      <w:r w:rsidRPr="00432B59">
        <w:rPr>
          <w:b/>
          <w:sz w:val="24"/>
          <w:szCs w:val="24"/>
        </w:rPr>
        <w:t>Other Accomplishments</w:t>
      </w:r>
    </w:p>
    <w:p w:rsidR="004C7D5A" w:rsidRDefault="004C7D5A" w:rsidP="00571560">
      <w:pPr>
        <w:rPr>
          <w:b/>
          <w:sz w:val="24"/>
          <w:szCs w:val="24"/>
        </w:rPr>
      </w:pPr>
    </w:p>
    <w:p w:rsidR="004C7D5A" w:rsidRPr="000820E9" w:rsidRDefault="004C7D5A" w:rsidP="004C7D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352AB">
        <w:rPr>
          <w:sz w:val="24"/>
          <w:szCs w:val="24"/>
        </w:rPr>
        <w:t>new FSHA</w:t>
      </w:r>
      <w:r>
        <w:rPr>
          <w:sz w:val="24"/>
          <w:szCs w:val="24"/>
        </w:rPr>
        <w:t xml:space="preserve"> website at </w:t>
      </w:r>
      <w:hyperlink r:id="rId5" w:history="1">
        <w:r w:rsidRPr="00CB2DB6">
          <w:rPr>
            <w:rStyle w:val="Hyperlink"/>
            <w:sz w:val="24"/>
            <w:szCs w:val="24"/>
          </w:rPr>
          <w:t>www.fortsmithhousing.org</w:t>
        </w:r>
      </w:hyperlink>
      <w:r>
        <w:rPr>
          <w:sz w:val="24"/>
          <w:szCs w:val="24"/>
        </w:rPr>
        <w:t xml:space="preserve"> is </w:t>
      </w:r>
      <w:r w:rsidR="005E65C5">
        <w:rPr>
          <w:sz w:val="24"/>
          <w:szCs w:val="24"/>
        </w:rPr>
        <w:t>up and running.</w:t>
      </w:r>
      <w:r w:rsidR="00CE71B7">
        <w:rPr>
          <w:sz w:val="24"/>
          <w:szCs w:val="24"/>
        </w:rPr>
        <w:t xml:space="preserve">  It features </w:t>
      </w:r>
      <w:r w:rsidR="00A352AB">
        <w:rPr>
          <w:sz w:val="24"/>
          <w:szCs w:val="24"/>
        </w:rPr>
        <w:t xml:space="preserve">information about the Authority and its board, </w:t>
      </w:r>
      <w:r w:rsidR="00E65A32">
        <w:rPr>
          <w:sz w:val="24"/>
          <w:szCs w:val="24"/>
        </w:rPr>
        <w:t>FSHA</w:t>
      </w:r>
      <w:r w:rsidR="00A352AB">
        <w:rPr>
          <w:sz w:val="24"/>
          <w:szCs w:val="24"/>
        </w:rPr>
        <w:t xml:space="preserve"> programs, houses for sale, and </w:t>
      </w:r>
      <w:r w:rsidR="00B35CEA">
        <w:rPr>
          <w:sz w:val="24"/>
          <w:szCs w:val="24"/>
        </w:rPr>
        <w:t xml:space="preserve">allows applicants to download application </w:t>
      </w:r>
      <w:r w:rsidR="00A352AB">
        <w:rPr>
          <w:sz w:val="24"/>
          <w:szCs w:val="24"/>
        </w:rPr>
        <w:t>forms</w:t>
      </w:r>
      <w:r w:rsidR="00B35CEA">
        <w:rPr>
          <w:sz w:val="24"/>
          <w:szCs w:val="24"/>
        </w:rPr>
        <w:t xml:space="preserve"> for our programs</w:t>
      </w:r>
      <w:r w:rsidR="00A352AB">
        <w:rPr>
          <w:sz w:val="24"/>
          <w:szCs w:val="24"/>
        </w:rPr>
        <w:t>.</w:t>
      </w:r>
    </w:p>
    <w:p w:rsidR="000820E9" w:rsidRDefault="000820E9" w:rsidP="000820E9">
      <w:pPr>
        <w:rPr>
          <w:b/>
          <w:sz w:val="24"/>
          <w:szCs w:val="24"/>
        </w:rPr>
      </w:pPr>
    </w:p>
    <w:p w:rsidR="000820E9" w:rsidRPr="000820E9" w:rsidRDefault="000820E9" w:rsidP="000820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Scott Chambers, Director of Technical Services and Procurement Officer, was selected for Leadership Fort Smith’s class of 2011-12.  The program is comprised of 25 class members each year and focuses on community issues and</w:t>
      </w:r>
      <w:r w:rsidR="00B35CEA">
        <w:rPr>
          <w:sz w:val="24"/>
          <w:szCs w:val="24"/>
        </w:rPr>
        <w:t xml:space="preserve"> development </w:t>
      </w:r>
      <w:proofErr w:type="gramStart"/>
      <w:r w:rsidR="00B35CE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 leadership</w:t>
      </w:r>
      <w:proofErr w:type="gramEnd"/>
      <w:r>
        <w:rPr>
          <w:sz w:val="24"/>
          <w:szCs w:val="24"/>
        </w:rPr>
        <w:t xml:space="preserve"> skills.</w:t>
      </w:r>
    </w:p>
    <w:p w:rsidR="0038493B" w:rsidRDefault="0038493B" w:rsidP="0038493B">
      <w:pPr>
        <w:rPr>
          <w:b/>
          <w:sz w:val="24"/>
          <w:szCs w:val="24"/>
        </w:rPr>
      </w:pPr>
    </w:p>
    <w:p w:rsidR="00571560" w:rsidRDefault="00571560" w:rsidP="0057156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Section 2 – Up</w:t>
      </w:r>
      <w:r w:rsidR="00A352AB">
        <w:rPr>
          <w:b/>
          <w:i/>
          <w:sz w:val="24"/>
          <w:szCs w:val="24"/>
          <w:u w:val="single"/>
        </w:rPr>
        <w:t>coming Issues for the Authority</w:t>
      </w:r>
    </w:p>
    <w:p w:rsidR="00571560" w:rsidRDefault="00571560" w:rsidP="00571560">
      <w:pPr>
        <w:rPr>
          <w:b/>
          <w:i/>
          <w:sz w:val="24"/>
          <w:szCs w:val="24"/>
          <w:u w:val="single"/>
        </w:rPr>
      </w:pPr>
    </w:p>
    <w:p w:rsidR="00571560" w:rsidRPr="00EC7005" w:rsidRDefault="00CE71B7" w:rsidP="005715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Notifica</w:t>
      </w:r>
      <w:r w:rsidR="00571560" w:rsidRPr="00EC7005">
        <w:rPr>
          <w:sz w:val="24"/>
          <w:szCs w:val="24"/>
        </w:rPr>
        <w:t>tion by</w:t>
      </w:r>
      <w:r w:rsidR="00A352AB">
        <w:rPr>
          <w:sz w:val="24"/>
          <w:szCs w:val="24"/>
        </w:rPr>
        <w:t xml:space="preserve"> the Department of the Treasury, most likely in February</w:t>
      </w:r>
      <w:r w:rsidR="007D0D0B">
        <w:rPr>
          <w:sz w:val="24"/>
          <w:szCs w:val="24"/>
        </w:rPr>
        <w:t xml:space="preserve"> 2012</w:t>
      </w:r>
      <w:r w:rsidR="00A352AB">
        <w:rPr>
          <w:sz w:val="24"/>
          <w:szCs w:val="24"/>
        </w:rPr>
        <w:t xml:space="preserve">, </w:t>
      </w:r>
      <w:r>
        <w:rPr>
          <w:sz w:val="24"/>
          <w:szCs w:val="24"/>
        </w:rPr>
        <w:t>of</w:t>
      </w:r>
      <w:r w:rsidR="00571560">
        <w:rPr>
          <w:sz w:val="24"/>
          <w:szCs w:val="24"/>
        </w:rPr>
        <w:t xml:space="preserve"> an allocation of New Markets Tax Credits in the 2011 NMTC program.  </w:t>
      </w:r>
    </w:p>
    <w:p w:rsidR="00571560" w:rsidRDefault="00571560" w:rsidP="00571560">
      <w:pPr>
        <w:pStyle w:val="ListParagraph"/>
        <w:rPr>
          <w:sz w:val="24"/>
          <w:szCs w:val="24"/>
        </w:rPr>
      </w:pPr>
    </w:p>
    <w:p w:rsidR="00571560" w:rsidRDefault="006F7872" w:rsidP="005715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Commencement of i</w:t>
      </w:r>
      <w:r w:rsidR="00987FFA">
        <w:rPr>
          <w:sz w:val="24"/>
          <w:szCs w:val="24"/>
        </w:rPr>
        <w:t>nfrastructure c</w:t>
      </w:r>
      <w:r w:rsidR="00571560">
        <w:rPr>
          <w:sz w:val="24"/>
          <w:szCs w:val="24"/>
        </w:rPr>
        <w:t>onstruction at Clayton Heights with Low Income Housing Tax Credits</w:t>
      </w:r>
      <w:r w:rsidR="00B35CEA">
        <w:rPr>
          <w:sz w:val="24"/>
          <w:szCs w:val="24"/>
        </w:rPr>
        <w:t xml:space="preserve"> and conventional financing from local banks</w:t>
      </w:r>
      <w:r w:rsidR="00571560">
        <w:rPr>
          <w:sz w:val="24"/>
          <w:szCs w:val="24"/>
        </w:rPr>
        <w:t xml:space="preserve">.  </w:t>
      </w:r>
    </w:p>
    <w:p w:rsidR="00571560" w:rsidRPr="002E3BE7" w:rsidRDefault="00571560" w:rsidP="00571560">
      <w:pPr>
        <w:pStyle w:val="ListParagraph"/>
        <w:rPr>
          <w:sz w:val="24"/>
          <w:szCs w:val="24"/>
        </w:rPr>
      </w:pPr>
    </w:p>
    <w:p w:rsidR="00571560" w:rsidRPr="001879A4" w:rsidRDefault="00571560" w:rsidP="005715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Construction of new homes with AHP funds and proceeds from other sales will </w:t>
      </w:r>
      <w:r w:rsidR="00A352AB">
        <w:rPr>
          <w:sz w:val="24"/>
          <w:szCs w:val="24"/>
        </w:rPr>
        <w:t xml:space="preserve">continue to </w:t>
      </w:r>
      <w:r>
        <w:rPr>
          <w:sz w:val="24"/>
          <w:szCs w:val="24"/>
        </w:rPr>
        <w:t xml:space="preserve">be slowed pending improvement in the </w:t>
      </w:r>
      <w:r w:rsidR="00E65A32">
        <w:rPr>
          <w:sz w:val="24"/>
          <w:szCs w:val="24"/>
        </w:rPr>
        <w:t xml:space="preserve">housing </w:t>
      </w:r>
      <w:r>
        <w:rPr>
          <w:sz w:val="24"/>
          <w:szCs w:val="24"/>
        </w:rPr>
        <w:t>market</w:t>
      </w:r>
      <w:r w:rsidR="00A352AB">
        <w:rPr>
          <w:sz w:val="24"/>
          <w:szCs w:val="24"/>
        </w:rPr>
        <w:t xml:space="preserve"> for new construction</w:t>
      </w:r>
      <w:r>
        <w:rPr>
          <w:sz w:val="24"/>
          <w:szCs w:val="24"/>
        </w:rPr>
        <w:t xml:space="preserve">.  </w:t>
      </w:r>
    </w:p>
    <w:p w:rsidR="00571560" w:rsidRPr="002E3BE7" w:rsidRDefault="00571560" w:rsidP="00571560">
      <w:pPr>
        <w:pStyle w:val="ListParagraph"/>
        <w:rPr>
          <w:sz w:val="24"/>
          <w:szCs w:val="24"/>
        </w:rPr>
      </w:pPr>
    </w:p>
    <w:p w:rsidR="00571560" w:rsidRDefault="00571560" w:rsidP="00571560">
      <w:pPr>
        <w:rPr>
          <w:sz w:val="24"/>
          <w:szCs w:val="24"/>
        </w:rPr>
      </w:pPr>
    </w:p>
    <w:p w:rsidR="00571560" w:rsidRDefault="00571560" w:rsidP="00571560">
      <w:pPr>
        <w:rPr>
          <w:sz w:val="24"/>
          <w:szCs w:val="24"/>
        </w:rPr>
      </w:pPr>
    </w:p>
    <w:p w:rsidR="00571560" w:rsidRDefault="00571560" w:rsidP="00571560">
      <w:pPr>
        <w:spacing w:after="20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571560" w:rsidRPr="007C6CCC" w:rsidRDefault="00571560" w:rsidP="0057156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Section 3 – Attendance Record</w:t>
      </w:r>
    </w:p>
    <w:p w:rsidR="00571560" w:rsidRDefault="00571560" w:rsidP="00571560">
      <w:pPr>
        <w:tabs>
          <w:tab w:val="left" w:pos="-1440"/>
        </w:tabs>
        <w:ind w:left="7200" w:hanging="7200"/>
      </w:pPr>
      <w:r>
        <w:tab/>
        <w:t>P-Present</w:t>
      </w:r>
    </w:p>
    <w:p w:rsidR="00571560" w:rsidRDefault="00571560" w:rsidP="00571560">
      <w:pPr>
        <w:ind w:firstLine="7200"/>
      </w:pPr>
      <w:r>
        <w:t>A-Absent</w:t>
      </w:r>
    </w:p>
    <w:p w:rsidR="00571560" w:rsidRDefault="00571560" w:rsidP="00571560">
      <w:r>
        <w:rPr>
          <w:b/>
          <w:bCs/>
        </w:rPr>
        <w:t>Regular Meetings</w:t>
      </w:r>
    </w:p>
    <w:p w:rsidR="00571560" w:rsidRDefault="00571560" w:rsidP="00571560"/>
    <w:p w:rsidR="00571560" w:rsidRDefault="00571560" w:rsidP="0057156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68"/>
        <w:gridCol w:w="546"/>
        <w:gridCol w:w="806"/>
        <w:gridCol w:w="810"/>
        <w:gridCol w:w="798"/>
        <w:gridCol w:w="718"/>
        <w:gridCol w:w="284"/>
        <w:gridCol w:w="546"/>
        <w:gridCol w:w="894"/>
        <w:gridCol w:w="720"/>
        <w:gridCol w:w="990"/>
      </w:tblGrid>
      <w:tr w:rsidR="005000BE" w:rsidTr="005000BE">
        <w:trPr>
          <w:trHeight w:val="602"/>
        </w:trPr>
        <w:tc>
          <w:tcPr>
            <w:tcW w:w="1908" w:type="dxa"/>
            <w:shd w:val="clear" w:color="auto" w:fill="CCCCCC"/>
          </w:tcPr>
          <w:p w:rsidR="00571560" w:rsidRDefault="00571560" w:rsidP="00F77AD8">
            <w:r>
              <w:t>Member</w:t>
            </w:r>
          </w:p>
        </w:tc>
        <w:tc>
          <w:tcPr>
            <w:tcW w:w="268" w:type="dxa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  <w:shd w:val="clear" w:color="auto" w:fill="CCCCCC"/>
          </w:tcPr>
          <w:p w:rsidR="00571560" w:rsidRDefault="00571560" w:rsidP="00F77AD8">
            <w:pPr>
              <w:jc w:val="center"/>
            </w:pPr>
            <w:r>
              <w:t>Feb</w:t>
            </w:r>
          </w:p>
          <w:p w:rsidR="00571560" w:rsidRDefault="00571560" w:rsidP="00571560">
            <w:pPr>
              <w:jc w:val="center"/>
            </w:pPr>
            <w:r>
              <w:t>24</w:t>
            </w:r>
          </w:p>
        </w:tc>
        <w:tc>
          <w:tcPr>
            <w:tcW w:w="806" w:type="dxa"/>
            <w:shd w:val="clear" w:color="auto" w:fill="CCCCCC"/>
          </w:tcPr>
          <w:p w:rsidR="00571560" w:rsidRDefault="00571560" w:rsidP="00571560">
            <w:pPr>
              <w:jc w:val="center"/>
            </w:pPr>
            <w:r>
              <w:t>Mar 24</w:t>
            </w:r>
          </w:p>
        </w:tc>
        <w:tc>
          <w:tcPr>
            <w:tcW w:w="810" w:type="dxa"/>
            <w:shd w:val="clear" w:color="auto" w:fill="CCCCCC"/>
          </w:tcPr>
          <w:p w:rsidR="00571560" w:rsidRDefault="00571560" w:rsidP="00571560">
            <w:pPr>
              <w:jc w:val="center"/>
            </w:pPr>
            <w:r>
              <w:t>Apr 28</w:t>
            </w:r>
          </w:p>
        </w:tc>
        <w:tc>
          <w:tcPr>
            <w:tcW w:w="798" w:type="dxa"/>
            <w:shd w:val="clear" w:color="auto" w:fill="CCCCCC"/>
          </w:tcPr>
          <w:p w:rsidR="00571560" w:rsidRDefault="00571560" w:rsidP="00571560">
            <w:pPr>
              <w:jc w:val="center"/>
            </w:pPr>
            <w:r>
              <w:t>May 26</w:t>
            </w:r>
          </w:p>
        </w:tc>
        <w:tc>
          <w:tcPr>
            <w:tcW w:w="718" w:type="dxa"/>
            <w:shd w:val="clear" w:color="auto" w:fill="CCCCCC"/>
          </w:tcPr>
          <w:p w:rsidR="00571560" w:rsidRDefault="00571560" w:rsidP="00571560">
            <w:pPr>
              <w:jc w:val="center"/>
            </w:pPr>
            <w:r>
              <w:t>Jul 21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CCCCCC"/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  <w:shd w:val="clear" w:color="auto" w:fill="CCCCCC"/>
          </w:tcPr>
          <w:p w:rsidR="00571560" w:rsidRDefault="00571560" w:rsidP="00462320">
            <w:pPr>
              <w:jc w:val="center"/>
            </w:pPr>
            <w:r>
              <w:t xml:space="preserve">Sep </w:t>
            </w:r>
            <w:r w:rsidR="00462320">
              <w:t>29</w:t>
            </w:r>
          </w:p>
        </w:tc>
        <w:tc>
          <w:tcPr>
            <w:tcW w:w="894" w:type="dxa"/>
            <w:shd w:val="clear" w:color="auto" w:fill="CCCCCC"/>
          </w:tcPr>
          <w:p w:rsidR="00571560" w:rsidRDefault="00571560" w:rsidP="00F77AD8">
            <w:pPr>
              <w:jc w:val="center"/>
            </w:pPr>
            <w:r>
              <w:t>Oct</w:t>
            </w:r>
          </w:p>
          <w:p w:rsidR="00571560" w:rsidRDefault="00571560" w:rsidP="00571560">
            <w:pPr>
              <w:jc w:val="center"/>
            </w:pPr>
            <w:r>
              <w:t>27</w:t>
            </w:r>
          </w:p>
        </w:tc>
        <w:tc>
          <w:tcPr>
            <w:tcW w:w="720" w:type="dxa"/>
            <w:shd w:val="clear" w:color="auto" w:fill="CCCCCC"/>
          </w:tcPr>
          <w:p w:rsidR="00571560" w:rsidRDefault="00571560" w:rsidP="005000BE">
            <w:pPr>
              <w:jc w:val="center"/>
            </w:pPr>
            <w:r>
              <w:t>Dec 1</w:t>
            </w:r>
            <w:r w:rsidR="005000BE">
              <w:t>5</w:t>
            </w:r>
          </w:p>
        </w:tc>
        <w:tc>
          <w:tcPr>
            <w:tcW w:w="990" w:type="dxa"/>
            <w:shd w:val="clear" w:color="auto" w:fill="CCCCCC"/>
          </w:tcPr>
          <w:p w:rsidR="00571560" w:rsidRDefault="00571560" w:rsidP="00F77AD8">
            <w:r>
              <w:t>Recap</w:t>
            </w:r>
          </w:p>
        </w:tc>
      </w:tr>
      <w:tr w:rsidR="00571560" w:rsidTr="005000BE">
        <w:tc>
          <w:tcPr>
            <w:tcW w:w="1908" w:type="dxa"/>
            <w:tcBorders>
              <w:bottom w:val="nil"/>
            </w:tcBorders>
          </w:tcPr>
          <w:p w:rsidR="00571560" w:rsidRDefault="00571560" w:rsidP="00F77AD8">
            <w:r>
              <w:t>Richard Griffin</w:t>
            </w:r>
          </w:p>
        </w:tc>
        <w:tc>
          <w:tcPr>
            <w:tcW w:w="268" w:type="dxa"/>
            <w:tcBorders>
              <w:bottom w:val="nil"/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  <w:bottom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06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10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98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18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  <w:bottom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94" w:type="dxa"/>
            <w:tcBorders>
              <w:bottom w:val="nil"/>
            </w:tcBorders>
          </w:tcPr>
          <w:p w:rsidR="00571560" w:rsidRDefault="006E5921" w:rsidP="00F77AD8">
            <w:pPr>
              <w:jc w:val="center"/>
            </w:pPr>
            <w:r>
              <w:t>P</w:t>
            </w:r>
          </w:p>
        </w:tc>
        <w:tc>
          <w:tcPr>
            <w:tcW w:w="720" w:type="dxa"/>
            <w:tcBorders>
              <w:bottom w:val="nil"/>
            </w:tcBorders>
          </w:tcPr>
          <w:p w:rsidR="00571560" w:rsidRDefault="009562CB" w:rsidP="00F77AD8">
            <w:pPr>
              <w:jc w:val="center"/>
            </w:pPr>
            <w:r>
              <w:t>P</w:t>
            </w:r>
          </w:p>
        </w:tc>
        <w:tc>
          <w:tcPr>
            <w:tcW w:w="990" w:type="dxa"/>
            <w:tcBorders>
              <w:bottom w:val="nil"/>
            </w:tcBorders>
          </w:tcPr>
          <w:p w:rsidR="00571560" w:rsidRDefault="009562CB" w:rsidP="00F77AD8">
            <w:pPr>
              <w:jc w:val="center"/>
            </w:pPr>
            <w:r>
              <w:t>9</w:t>
            </w:r>
            <w:r w:rsidR="00571560">
              <w:t>/</w:t>
            </w:r>
            <w:r w:rsidR="005000BE">
              <w:t>9</w:t>
            </w:r>
          </w:p>
        </w:tc>
      </w:tr>
      <w:tr w:rsidR="00571560" w:rsidTr="005000BE">
        <w:trPr>
          <w:trHeight w:val="108"/>
        </w:trPr>
        <w:tc>
          <w:tcPr>
            <w:tcW w:w="1908" w:type="dxa"/>
            <w:tcBorders>
              <w:top w:val="nil"/>
            </w:tcBorders>
          </w:tcPr>
          <w:p w:rsidR="00571560" w:rsidRDefault="00571560" w:rsidP="00F77AD8"/>
        </w:tc>
        <w:tc>
          <w:tcPr>
            <w:tcW w:w="268" w:type="dxa"/>
            <w:tcBorders>
              <w:top w:val="nil"/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806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798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718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894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</w:tr>
      <w:tr w:rsidR="00571560" w:rsidTr="005000BE">
        <w:trPr>
          <w:trHeight w:val="377"/>
        </w:trPr>
        <w:tc>
          <w:tcPr>
            <w:tcW w:w="1908" w:type="dxa"/>
          </w:tcPr>
          <w:p w:rsidR="00571560" w:rsidRDefault="00571560" w:rsidP="00F77AD8">
            <w:r>
              <w:t>Linda Edwards</w:t>
            </w:r>
          </w:p>
        </w:tc>
        <w:tc>
          <w:tcPr>
            <w:tcW w:w="268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06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98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18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284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94" w:type="dxa"/>
          </w:tcPr>
          <w:p w:rsidR="006E5921" w:rsidRDefault="006E5921" w:rsidP="00F77AD8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:rsidR="00571560" w:rsidRDefault="009562CB" w:rsidP="00F77AD8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571560" w:rsidRDefault="009562CB" w:rsidP="005000BE">
            <w:pPr>
              <w:jc w:val="center"/>
            </w:pPr>
            <w:r>
              <w:t>9</w:t>
            </w:r>
            <w:r w:rsidR="00571560">
              <w:t>/</w:t>
            </w:r>
            <w:r w:rsidR="005000BE">
              <w:t>9</w:t>
            </w:r>
          </w:p>
        </w:tc>
      </w:tr>
      <w:tr w:rsidR="00571560" w:rsidTr="005000BE">
        <w:trPr>
          <w:trHeight w:val="440"/>
        </w:trPr>
        <w:tc>
          <w:tcPr>
            <w:tcW w:w="1908" w:type="dxa"/>
          </w:tcPr>
          <w:p w:rsidR="00571560" w:rsidRDefault="00571560" w:rsidP="00F77AD8">
            <w:r>
              <w:t>Barbara Meadows</w:t>
            </w:r>
          </w:p>
        </w:tc>
        <w:tc>
          <w:tcPr>
            <w:tcW w:w="268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06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98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18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284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94" w:type="dxa"/>
          </w:tcPr>
          <w:p w:rsidR="00571560" w:rsidRDefault="006E5921" w:rsidP="00F77AD8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:rsidR="00571560" w:rsidRDefault="009562CB" w:rsidP="00F77AD8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571560" w:rsidRDefault="009562CB" w:rsidP="00F77AD8">
            <w:pPr>
              <w:jc w:val="center"/>
            </w:pPr>
            <w:r>
              <w:t>9</w:t>
            </w:r>
            <w:r w:rsidR="00571560">
              <w:t>/</w:t>
            </w:r>
            <w:r w:rsidR="005000BE">
              <w:t>9</w:t>
            </w:r>
          </w:p>
        </w:tc>
      </w:tr>
      <w:tr w:rsidR="00571560" w:rsidTr="005000BE">
        <w:trPr>
          <w:trHeight w:val="350"/>
        </w:trPr>
        <w:tc>
          <w:tcPr>
            <w:tcW w:w="1908" w:type="dxa"/>
          </w:tcPr>
          <w:p w:rsidR="00571560" w:rsidRDefault="00571560" w:rsidP="00F77AD8">
            <w:r>
              <w:t>Rick Foti</w:t>
            </w:r>
          </w:p>
        </w:tc>
        <w:tc>
          <w:tcPr>
            <w:tcW w:w="268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06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98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718" w:type="dxa"/>
          </w:tcPr>
          <w:p w:rsidR="00571560" w:rsidRDefault="00E65A32" w:rsidP="00F77AD8">
            <w:pPr>
              <w:jc w:val="center"/>
            </w:pPr>
            <w:r>
              <w:t>P</w:t>
            </w:r>
          </w:p>
        </w:tc>
        <w:tc>
          <w:tcPr>
            <w:tcW w:w="284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A</w:t>
            </w:r>
          </w:p>
        </w:tc>
        <w:tc>
          <w:tcPr>
            <w:tcW w:w="894" w:type="dxa"/>
          </w:tcPr>
          <w:p w:rsidR="00571560" w:rsidRDefault="006E5921" w:rsidP="00F77AD8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:rsidR="00571560" w:rsidRDefault="009562CB" w:rsidP="00F77AD8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571560" w:rsidRDefault="009562CB" w:rsidP="00F77AD8">
            <w:pPr>
              <w:jc w:val="center"/>
            </w:pPr>
            <w:r>
              <w:t>8</w:t>
            </w:r>
            <w:r w:rsidR="00571560">
              <w:t>/</w:t>
            </w:r>
            <w:r w:rsidR="005000BE">
              <w:t>9</w:t>
            </w:r>
          </w:p>
        </w:tc>
      </w:tr>
      <w:tr w:rsidR="00571560" w:rsidTr="005000BE">
        <w:trPr>
          <w:trHeight w:val="350"/>
        </w:trPr>
        <w:tc>
          <w:tcPr>
            <w:tcW w:w="1908" w:type="dxa"/>
          </w:tcPr>
          <w:p w:rsidR="00571560" w:rsidRDefault="00571560" w:rsidP="00571560">
            <w:r>
              <w:t>Rex Terry</w:t>
            </w:r>
          </w:p>
        </w:tc>
        <w:tc>
          <w:tcPr>
            <w:tcW w:w="268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06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:rsidR="00571560" w:rsidRDefault="00571560" w:rsidP="00F77AD8">
            <w:pPr>
              <w:jc w:val="center"/>
            </w:pPr>
            <w:r>
              <w:t>A</w:t>
            </w:r>
          </w:p>
        </w:tc>
        <w:tc>
          <w:tcPr>
            <w:tcW w:w="798" w:type="dxa"/>
          </w:tcPr>
          <w:p w:rsidR="00571560" w:rsidRDefault="00571560" w:rsidP="00F77AD8">
            <w:pPr>
              <w:jc w:val="center"/>
            </w:pPr>
            <w:r>
              <w:t>A</w:t>
            </w:r>
          </w:p>
        </w:tc>
        <w:tc>
          <w:tcPr>
            <w:tcW w:w="718" w:type="dxa"/>
          </w:tcPr>
          <w:p w:rsidR="00571560" w:rsidRDefault="00571560" w:rsidP="00F77AD8">
            <w:pPr>
              <w:jc w:val="center"/>
            </w:pPr>
            <w:r>
              <w:t>P</w:t>
            </w:r>
          </w:p>
        </w:tc>
        <w:tc>
          <w:tcPr>
            <w:tcW w:w="284" w:type="dxa"/>
            <w:tcBorders>
              <w:right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546" w:type="dxa"/>
            <w:tcBorders>
              <w:left w:val="nil"/>
            </w:tcBorders>
          </w:tcPr>
          <w:p w:rsidR="00571560" w:rsidRDefault="00571560" w:rsidP="00F77AD8">
            <w:pPr>
              <w:jc w:val="center"/>
            </w:pPr>
            <w:r>
              <w:t>A</w:t>
            </w:r>
          </w:p>
        </w:tc>
        <w:tc>
          <w:tcPr>
            <w:tcW w:w="894" w:type="dxa"/>
          </w:tcPr>
          <w:p w:rsidR="00571560" w:rsidRDefault="0022080C" w:rsidP="00F77AD8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:rsidR="00571560" w:rsidRDefault="009562CB" w:rsidP="00F77AD8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571560" w:rsidRDefault="009562CB" w:rsidP="00F77AD8">
            <w:pPr>
              <w:jc w:val="center"/>
            </w:pPr>
            <w:r>
              <w:t>6</w:t>
            </w:r>
            <w:r w:rsidR="00571560">
              <w:t>/9</w:t>
            </w:r>
          </w:p>
        </w:tc>
      </w:tr>
    </w:tbl>
    <w:p w:rsidR="00571560" w:rsidRDefault="00571560" w:rsidP="00571560">
      <w:pPr>
        <w:spacing w:after="200" w:line="276" w:lineRule="auto"/>
        <w:rPr>
          <w:b/>
          <w:bCs/>
        </w:rPr>
      </w:pPr>
    </w:p>
    <w:p w:rsidR="00571560" w:rsidRDefault="00571560" w:rsidP="00571560"/>
    <w:p w:rsidR="00571560" w:rsidRDefault="00571560" w:rsidP="00571560">
      <w:r>
        <w:rPr>
          <w:b/>
          <w:bCs/>
        </w:rPr>
        <w:t>Special Meetings</w:t>
      </w:r>
      <w:r w:rsidR="00E65A32">
        <w:rPr>
          <w:b/>
          <w:bCs/>
        </w:rPr>
        <w:t xml:space="preserve"> – None held</w:t>
      </w:r>
    </w:p>
    <w:p w:rsidR="00571560" w:rsidRDefault="00571560" w:rsidP="00571560"/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080"/>
        <w:gridCol w:w="1080"/>
        <w:gridCol w:w="1080"/>
      </w:tblGrid>
      <w:tr w:rsidR="00571560" w:rsidTr="00F77AD8">
        <w:tc>
          <w:tcPr>
            <w:tcW w:w="1908" w:type="dxa"/>
            <w:shd w:val="clear" w:color="auto" w:fill="CCCCCC"/>
          </w:tcPr>
          <w:p w:rsidR="00571560" w:rsidRDefault="00571560" w:rsidP="00F77AD8">
            <w:r>
              <w:t>Member</w:t>
            </w:r>
          </w:p>
        </w:tc>
        <w:tc>
          <w:tcPr>
            <w:tcW w:w="1080" w:type="dxa"/>
            <w:shd w:val="clear" w:color="auto" w:fill="CCCCCC"/>
          </w:tcPr>
          <w:p w:rsidR="00571560" w:rsidRDefault="00571560" w:rsidP="00F77AD8">
            <w:pPr>
              <w:tabs>
                <w:tab w:val="left" w:pos="720"/>
              </w:tabs>
              <w:jc w:val="center"/>
            </w:pPr>
          </w:p>
        </w:tc>
        <w:tc>
          <w:tcPr>
            <w:tcW w:w="1080" w:type="dxa"/>
            <w:shd w:val="clear" w:color="auto" w:fill="CCCCCC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shd w:val="clear" w:color="auto" w:fill="CCCCCC"/>
          </w:tcPr>
          <w:p w:rsidR="00571560" w:rsidRDefault="00571560" w:rsidP="00F77AD8">
            <w:pPr>
              <w:jc w:val="center"/>
            </w:pPr>
            <w:r>
              <w:t>Recap</w:t>
            </w:r>
          </w:p>
        </w:tc>
      </w:tr>
      <w:tr w:rsidR="00571560" w:rsidTr="00CE71B7">
        <w:trPr>
          <w:trHeight w:val="458"/>
        </w:trPr>
        <w:tc>
          <w:tcPr>
            <w:tcW w:w="1908" w:type="dxa"/>
            <w:tcBorders>
              <w:bottom w:val="single" w:sz="4" w:space="0" w:color="auto"/>
            </w:tcBorders>
          </w:tcPr>
          <w:p w:rsidR="00571560" w:rsidRDefault="00571560" w:rsidP="00F77AD8">
            <w:r>
              <w:t>Richard Griffin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71560" w:rsidRDefault="00571560" w:rsidP="00F77AD8">
            <w:pPr>
              <w:jc w:val="center"/>
            </w:pPr>
          </w:p>
        </w:tc>
      </w:tr>
      <w:tr w:rsidR="00571560" w:rsidTr="00CE71B7">
        <w:trPr>
          <w:trHeight w:val="80"/>
        </w:trPr>
        <w:tc>
          <w:tcPr>
            <w:tcW w:w="1908" w:type="dxa"/>
            <w:tcBorders>
              <w:bottom w:val="nil"/>
            </w:tcBorders>
          </w:tcPr>
          <w:p w:rsidR="00571560" w:rsidRDefault="00571560" w:rsidP="00F77AD8"/>
        </w:tc>
        <w:tc>
          <w:tcPr>
            <w:tcW w:w="1080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</w:tcPr>
          <w:p w:rsidR="00571560" w:rsidRDefault="00571560" w:rsidP="00F77AD8">
            <w:pPr>
              <w:jc w:val="center"/>
            </w:pPr>
          </w:p>
        </w:tc>
      </w:tr>
      <w:tr w:rsidR="00571560" w:rsidTr="00571560">
        <w:trPr>
          <w:trHeight w:val="180"/>
        </w:trPr>
        <w:tc>
          <w:tcPr>
            <w:tcW w:w="1908" w:type="dxa"/>
            <w:tcBorders>
              <w:top w:val="nil"/>
            </w:tcBorders>
          </w:tcPr>
          <w:p w:rsidR="00571560" w:rsidRDefault="00571560" w:rsidP="00F77AD8">
            <w:r>
              <w:t>Linda Edwards</w:t>
            </w:r>
          </w:p>
          <w:p w:rsidR="00571560" w:rsidRDefault="00571560" w:rsidP="00F77AD8"/>
        </w:tc>
        <w:tc>
          <w:tcPr>
            <w:tcW w:w="1080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571560" w:rsidRDefault="00571560" w:rsidP="00F77AD8">
            <w:pPr>
              <w:jc w:val="center"/>
            </w:pPr>
          </w:p>
        </w:tc>
      </w:tr>
      <w:tr w:rsidR="00571560" w:rsidTr="00F77AD8">
        <w:tc>
          <w:tcPr>
            <w:tcW w:w="1908" w:type="dxa"/>
          </w:tcPr>
          <w:p w:rsidR="00571560" w:rsidRDefault="00571560" w:rsidP="00F77AD8">
            <w:r>
              <w:t>Barbara Meadows</w:t>
            </w:r>
          </w:p>
          <w:p w:rsidR="00571560" w:rsidRDefault="00571560" w:rsidP="00F77AD8"/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</w:tr>
      <w:tr w:rsidR="00571560" w:rsidTr="00571560">
        <w:trPr>
          <w:trHeight w:val="503"/>
        </w:trPr>
        <w:tc>
          <w:tcPr>
            <w:tcW w:w="1908" w:type="dxa"/>
          </w:tcPr>
          <w:p w:rsidR="00571560" w:rsidRDefault="00571560" w:rsidP="00F77AD8">
            <w:r>
              <w:t>Rick Foti</w:t>
            </w:r>
          </w:p>
          <w:p w:rsidR="00571560" w:rsidRDefault="00571560" w:rsidP="00F77AD8"/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</w:tr>
      <w:tr w:rsidR="00571560" w:rsidTr="00571560">
        <w:trPr>
          <w:trHeight w:val="422"/>
        </w:trPr>
        <w:tc>
          <w:tcPr>
            <w:tcW w:w="1908" w:type="dxa"/>
          </w:tcPr>
          <w:p w:rsidR="00571560" w:rsidRDefault="00571560" w:rsidP="00F77AD8">
            <w:r>
              <w:t>Rex Terry</w:t>
            </w: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  <w:tc>
          <w:tcPr>
            <w:tcW w:w="1080" w:type="dxa"/>
          </w:tcPr>
          <w:p w:rsidR="00571560" w:rsidRDefault="00571560" w:rsidP="00F77AD8">
            <w:pPr>
              <w:jc w:val="center"/>
            </w:pPr>
          </w:p>
        </w:tc>
      </w:tr>
    </w:tbl>
    <w:p w:rsidR="00571560" w:rsidRDefault="00571560" w:rsidP="00571560"/>
    <w:p w:rsidR="00571560" w:rsidRDefault="00571560" w:rsidP="00571560">
      <w:pPr>
        <w:rPr>
          <w:b/>
          <w:i/>
          <w:sz w:val="24"/>
          <w:szCs w:val="24"/>
          <w:u w:val="single"/>
        </w:rPr>
      </w:pPr>
    </w:p>
    <w:p w:rsidR="0091388D" w:rsidRDefault="0003571D"/>
    <w:sectPr w:rsidR="0091388D" w:rsidSect="0040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CC"/>
    <w:multiLevelType w:val="hybridMultilevel"/>
    <w:tmpl w:val="ED06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3856"/>
    <w:multiLevelType w:val="hybridMultilevel"/>
    <w:tmpl w:val="D884C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70F37"/>
    <w:multiLevelType w:val="hybridMultilevel"/>
    <w:tmpl w:val="ED3A5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171946"/>
    <w:multiLevelType w:val="hybridMultilevel"/>
    <w:tmpl w:val="ABE6471C"/>
    <w:lvl w:ilvl="0" w:tplc="7F86D8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A7755"/>
    <w:multiLevelType w:val="hybridMultilevel"/>
    <w:tmpl w:val="20B8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74BD9"/>
    <w:multiLevelType w:val="hybridMultilevel"/>
    <w:tmpl w:val="1DE4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compat/>
  <w:rsids>
    <w:rsidRoot w:val="00571560"/>
    <w:rsid w:val="0003571D"/>
    <w:rsid w:val="00062767"/>
    <w:rsid w:val="00063A19"/>
    <w:rsid w:val="000820E9"/>
    <w:rsid w:val="000830CD"/>
    <w:rsid w:val="000A5F74"/>
    <w:rsid w:val="000F113B"/>
    <w:rsid w:val="001121B7"/>
    <w:rsid w:val="0011341F"/>
    <w:rsid w:val="00137073"/>
    <w:rsid w:val="00157219"/>
    <w:rsid w:val="00196B45"/>
    <w:rsid w:val="001A445E"/>
    <w:rsid w:val="001D3E2B"/>
    <w:rsid w:val="001E160C"/>
    <w:rsid w:val="001E5F67"/>
    <w:rsid w:val="001E659C"/>
    <w:rsid w:val="002054FD"/>
    <w:rsid w:val="0022080C"/>
    <w:rsid w:val="00225BFF"/>
    <w:rsid w:val="00226963"/>
    <w:rsid w:val="002B627B"/>
    <w:rsid w:val="0038493B"/>
    <w:rsid w:val="003A5E5C"/>
    <w:rsid w:val="003D4ABE"/>
    <w:rsid w:val="003D605E"/>
    <w:rsid w:val="00402A10"/>
    <w:rsid w:val="00453A05"/>
    <w:rsid w:val="00462320"/>
    <w:rsid w:val="00470E67"/>
    <w:rsid w:val="004712FC"/>
    <w:rsid w:val="004C6D53"/>
    <w:rsid w:val="004C7D5A"/>
    <w:rsid w:val="005000BE"/>
    <w:rsid w:val="00537119"/>
    <w:rsid w:val="00571560"/>
    <w:rsid w:val="005A4F73"/>
    <w:rsid w:val="005C3FF3"/>
    <w:rsid w:val="005C7217"/>
    <w:rsid w:val="005D150C"/>
    <w:rsid w:val="005D35AC"/>
    <w:rsid w:val="005E65C5"/>
    <w:rsid w:val="005E685D"/>
    <w:rsid w:val="005F54C0"/>
    <w:rsid w:val="006236D7"/>
    <w:rsid w:val="006906DC"/>
    <w:rsid w:val="006E5921"/>
    <w:rsid w:val="006F2D42"/>
    <w:rsid w:val="006F37A2"/>
    <w:rsid w:val="006F7872"/>
    <w:rsid w:val="00712BB8"/>
    <w:rsid w:val="00773AF4"/>
    <w:rsid w:val="007743CA"/>
    <w:rsid w:val="007842C1"/>
    <w:rsid w:val="007945C2"/>
    <w:rsid w:val="007B1796"/>
    <w:rsid w:val="007D0D0B"/>
    <w:rsid w:val="007D65F6"/>
    <w:rsid w:val="008323F8"/>
    <w:rsid w:val="008427A0"/>
    <w:rsid w:val="00861CAC"/>
    <w:rsid w:val="008C0598"/>
    <w:rsid w:val="008D60C8"/>
    <w:rsid w:val="008F6C8A"/>
    <w:rsid w:val="009562CB"/>
    <w:rsid w:val="00987FFA"/>
    <w:rsid w:val="009E06F0"/>
    <w:rsid w:val="00A01AB0"/>
    <w:rsid w:val="00A074E9"/>
    <w:rsid w:val="00A24888"/>
    <w:rsid w:val="00A352AB"/>
    <w:rsid w:val="00A47BE3"/>
    <w:rsid w:val="00A64DA0"/>
    <w:rsid w:val="00A73964"/>
    <w:rsid w:val="00A91D7E"/>
    <w:rsid w:val="00AC6A28"/>
    <w:rsid w:val="00B33C2C"/>
    <w:rsid w:val="00B35CEA"/>
    <w:rsid w:val="00BA0BE4"/>
    <w:rsid w:val="00BD5F0F"/>
    <w:rsid w:val="00BE18D3"/>
    <w:rsid w:val="00BF58E1"/>
    <w:rsid w:val="00C2746D"/>
    <w:rsid w:val="00C9165A"/>
    <w:rsid w:val="00CB0EE5"/>
    <w:rsid w:val="00CE33BC"/>
    <w:rsid w:val="00CE71B7"/>
    <w:rsid w:val="00E04E11"/>
    <w:rsid w:val="00E65A32"/>
    <w:rsid w:val="00E67AED"/>
    <w:rsid w:val="00EC3442"/>
    <w:rsid w:val="00F903E8"/>
    <w:rsid w:val="00F9440E"/>
    <w:rsid w:val="00FA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60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D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4C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4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tsmithhous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Chavez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jhatley</dc:creator>
  <cp:keywords/>
  <dc:description/>
  <cp:lastModifiedBy>jhatley</cp:lastModifiedBy>
  <cp:revision>10</cp:revision>
  <cp:lastPrinted>2012-02-10T15:24:00Z</cp:lastPrinted>
  <dcterms:created xsi:type="dcterms:W3CDTF">2012-01-03T14:38:00Z</dcterms:created>
  <dcterms:modified xsi:type="dcterms:W3CDTF">2014-02-24T15:39:00Z</dcterms:modified>
</cp:coreProperties>
</file>